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N w:val="0"/>
        <w:autoSpaceDE w:val="0"/>
        <w:widowControl/>
        <w:spacing w:line="360" w:lineRule="exact" w:before="644" w:after="462"/>
        <w:ind w:left="0" w:right="0" w:firstLine="0"/>
        <w:jc w:val="center"/>
      </w:pPr>
      <w:r>
        <w:rPr>
          <w:rFonts w:ascii="宋体" w:hAnsi="宋体" w:eastAsia="宋体"/>
          <w:b w:val="0"/>
          <w:i w:val="0"/>
          <w:color w:val="000000"/>
          <w:sz w:val="36"/>
        </w:rPr>
        <w:t>专家意见</w:t>
      </w:r>
    </w:p>
    <w:tbl>
      <w:tblPr>
        <w:tblW w:type="auto" w:w="0"/>
        <w:tblLayout w:type="fixed"/>
        <w:tblLook w:firstColumn="1" w:firstRow="1" w:lastColumn="0" w:lastRow="0" w:noHBand="0" w:noVBand="1" w:val="04A0"/>
        <w:tblInd w:w="124.00000000000006" w:type="dxa"/>
      </w:tblPr>
      <w:tblGrid>
        <w:gridCol w:w="2256"/>
        <w:gridCol w:w="2256"/>
        <w:gridCol w:w="2256"/>
        <w:gridCol w:w="2256"/>
      </w:tblGrid>
      <w:tr>
        <w:trPr>
          <w:trHeight w:hRule="exact" w:val="524"/>
        </w:trPr>
        <w:tc>
          <w:tcPr>
            <w:tcW w:type="dxa" w:w="22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64" w:lineRule="exact" w:before="0" w:after="0"/>
              <w:ind w:left="0" w:right="0"/>
            </w:pPr>
          </w:p>
          <w:tbl>
            <w:tblPr>
              <w:tblW w:type="auto" w:w="0"/>
              <w:tblLayout w:type="fixed"/>
              <w:tblLook w:firstColumn="1" w:firstRow="1" w:lastColumn="0" w:lastRow="0" w:noHBand="0" w:noVBand="1" w:val="04A0"/>
              <w:tblInd w:w="369.2000001072884" w:type="dxa"/>
            </w:tblPr>
            <w:tblGrid>
              <w:gridCol w:w="1114"/>
              <w:gridCol w:w="1114"/>
            </w:tblGrid>
            <w:tr>
              <w:trPr>
                <w:trHeight w:hRule="exact" w:val="342"/>
              </w:trPr>
              <w:tc>
                <w:tcPr>
                  <w:tcW w:type="dxa" w:w="738"/>
                  <w:tcBorders/>
                  <w:tcMar>
                    <w:start w:w="0" w:type="dxa"/>
                    <w:end w:w="0" w:type="dxa"/>
                  </w:tcMar>
                </w:tcPr>
                <w:p>
                  <w:pPr>
                    <w:autoSpaceDN w:val="0"/>
                    <w:autoSpaceDE w:val="0"/>
                    <w:widowControl/>
                    <w:spacing w:line="210" w:lineRule="exact" w:before="66" w:after="0"/>
                    <w:ind w:left="158" w:right="158" w:firstLine="0"/>
                    <w:jc w:val="right"/>
                  </w:pPr>
                  <w:r>
                    <w:rPr>
                      <w:rFonts w:ascii="仿宋" w:hAnsi="仿宋" w:eastAsia="仿宋"/>
                      <w:b w:val="0"/>
                      <w:i w:val="0"/>
                      <w:color w:val="000000"/>
                      <w:sz w:val="21"/>
                    </w:rPr>
                    <w:t>姓</w:t>
                  </w:r>
                </w:p>
              </w:tc>
              <w:tc>
                <w:tcPr>
                  <w:tcW w:type="dxa" w:w="740"/>
                  <w:tcBorders/>
                  <w:tcMar>
                    <w:start w:w="0" w:type="dxa"/>
                    <w:end w:w="0" w:type="dxa"/>
                  </w:tcMar>
                </w:tcPr>
                <w:p>
                  <w:pPr>
                    <w:autoSpaceDN w:val="0"/>
                    <w:autoSpaceDE w:val="0"/>
                    <w:widowControl/>
                    <w:spacing w:line="210" w:lineRule="exact" w:before="66" w:after="0"/>
                    <w:ind w:left="158" w:right="158" w:firstLine="0"/>
                    <w:jc w:val="left"/>
                  </w:pPr>
                  <w:r>
                    <w:rPr>
                      <w:rFonts w:ascii="仿宋" w:hAnsi="仿宋" w:eastAsia="仿宋"/>
                      <w:b w:val="0"/>
                      <w:i w:val="0"/>
                      <w:color w:val="000000"/>
                      <w:sz w:val="21"/>
                    </w:rPr>
                    <w:t>名</w:t>
                  </w:r>
                </w:p>
              </w:tc>
            </w:tr>
          </w:tbl>
          <w:p/>
          <w:p>
            <w:pPr>
              <w:autoSpaceDN w:val="0"/>
              <w:autoSpaceDE w:val="0"/>
              <w:widowControl/>
              <w:spacing w:line="14" w:lineRule="exact" w:before="0" w:after="0"/>
              <w:ind w:left="0" w:right="0"/>
            </w:pPr>
          </w:p>
        </w:tc>
        <w:tc>
          <w:tcPr>
            <w:tcW w:type="dxa" w:w="2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32" w:after="0"/>
              <w:ind w:left="0" w:right="0" w:firstLine="0"/>
              <w:jc w:val="center"/>
            </w:pPr>
            <w:r>
              <w:rPr>
                <w:rFonts w:ascii="仿宋" w:hAnsi="仿宋" w:eastAsia="仿宋"/>
                <w:b w:val="0"/>
                <w:i w:val="0"/>
                <w:color w:val="000000"/>
                <w:sz w:val="21"/>
              </w:rPr>
              <w:t>王志勇</w:t>
            </w:r>
          </w:p>
        </w:tc>
        <w:tc>
          <w:tcPr>
            <w:tcW w:type="dxa" w:w="15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32" w:after="0"/>
              <w:ind w:left="0" w:right="0" w:firstLine="0"/>
              <w:jc w:val="center"/>
            </w:pPr>
            <w:r>
              <w:rPr>
                <w:rFonts w:ascii="仿宋" w:hAnsi="仿宋" w:eastAsia="仿宋"/>
                <w:b w:val="0"/>
                <w:i w:val="0"/>
                <w:color w:val="000000"/>
                <w:sz w:val="21"/>
              </w:rPr>
              <w:t>工作单位</w:t>
            </w:r>
          </w:p>
        </w:tc>
        <w:tc>
          <w:tcPr>
            <w:tcW w:type="dxa" w:w="264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32" w:after="0"/>
              <w:ind w:left="0" w:right="0" w:firstLine="0"/>
              <w:jc w:val="center"/>
            </w:pPr>
            <w:r>
              <w:rPr>
                <w:rFonts w:ascii="仿宋" w:hAnsi="仿宋" w:eastAsia="仿宋"/>
                <w:b w:val="0"/>
                <w:i w:val="0"/>
                <w:color w:val="000000"/>
                <w:sz w:val="21"/>
              </w:rPr>
              <w:t>南部县水务局</w:t>
            </w:r>
          </w:p>
        </w:tc>
      </w:tr>
      <w:tr>
        <w:trPr>
          <w:trHeight w:hRule="exact" w:val="478"/>
        </w:trPr>
        <w:tc>
          <w:tcPr>
            <w:tcW w:type="dxa" w:w="22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64" w:lineRule="exact" w:before="0" w:after="0"/>
              <w:ind w:left="0" w:right="0"/>
            </w:pPr>
          </w:p>
          <w:tbl>
            <w:tblPr>
              <w:tblW w:type="auto" w:w="0"/>
              <w:tblLayout w:type="fixed"/>
              <w:tblLook w:firstColumn="1" w:firstRow="1" w:lastColumn="0" w:lastRow="0" w:noHBand="0" w:noVBand="1" w:val="04A0"/>
              <w:tblInd w:w="369.2000001072884" w:type="dxa"/>
            </w:tblPr>
            <w:tblGrid>
              <w:gridCol w:w="1114"/>
              <w:gridCol w:w="1114"/>
            </w:tblGrid>
            <w:tr>
              <w:trPr>
                <w:trHeight w:hRule="exact" w:val="318"/>
              </w:trPr>
              <w:tc>
                <w:tcPr>
                  <w:tcW w:type="dxa" w:w="738"/>
                  <w:tcBorders/>
                  <w:tcMar>
                    <w:start w:w="0" w:type="dxa"/>
                    <w:end w:w="0" w:type="dxa"/>
                  </w:tcMar>
                </w:tcPr>
                <w:p>
                  <w:pPr>
                    <w:autoSpaceDN w:val="0"/>
                    <w:autoSpaceDE w:val="0"/>
                    <w:widowControl/>
                    <w:spacing w:line="208" w:lineRule="exact" w:before="66" w:after="0"/>
                    <w:ind w:left="158" w:right="158" w:firstLine="0"/>
                    <w:jc w:val="right"/>
                  </w:pPr>
                  <w:r>
                    <w:rPr>
                      <w:rFonts w:ascii="仿宋" w:hAnsi="仿宋" w:eastAsia="仿宋"/>
                      <w:b w:val="0"/>
                      <w:i w:val="0"/>
                      <w:color w:val="000000"/>
                      <w:sz w:val="21"/>
                    </w:rPr>
                    <w:t>职</w:t>
                  </w:r>
                </w:p>
              </w:tc>
              <w:tc>
                <w:tcPr>
                  <w:tcW w:type="dxa" w:w="740"/>
                  <w:tcBorders/>
                  <w:tcMar>
                    <w:start w:w="0" w:type="dxa"/>
                    <w:end w:w="0" w:type="dxa"/>
                  </w:tcMar>
                </w:tcPr>
                <w:p>
                  <w:pPr>
                    <w:autoSpaceDN w:val="0"/>
                    <w:autoSpaceDE w:val="0"/>
                    <w:widowControl/>
                    <w:spacing w:line="208" w:lineRule="exact" w:before="66" w:after="0"/>
                    <w:ind w:left="158" w:right="158" w:firstLine="0"/>
                    <w:jc w:val="left"/>
                  </w:pPr>
                  <w:r>
                    <w:rPr>
                      <w:rFonts w:ascii="仿宋" w:hAnsi="仿宋" w:eastAsia="仿宋"/>
                      <w:b w:val="0"/>
                      <w:i w:val="0"/>
                      <w:color w:val="000000"/>
                      <w:sz w:val="21"/>
                    </w:rPr>
                    <w:t>称</w:t>
                  </w:r>
                </w:p>
              </w:tc>
            </w:tr>
          </w:tbl>
          <w:p/>
          <w:p>
            <w:pPr>
              <w:autoSpaceDN w:val="0"/>
              <w:autoSpaceDE w:val="0"/>
              <w:widowControl/>
              <w:spacing w:line="14" w:lineRule="exact" w:before="0" w:after="0"/>
              <w:ind w:left="0" w:right="0"/>
            </w:pPr>
          </w:p>
        </w:tc>
        <w:tc>
          <w:tcPr>
            <w:tcW w:type="dxa" w:w="2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132" w:after="0"/>
              <w:ind w:left="0" w:right="0" w:firstLine="0"/>
              <w:jc w:val="center"/>
            </w:pPr>
            <w:r>
              <w:rPr>
                <w:rFonts w:ascii="仿宋" w:hAnsi="仿宋" w:eastAsia="仿宋"/>
                <w:b w:val="0"/>
                <w:i w:val="0"/>
                <w:color w:val="000000"/>
                <w:sz w:val="21"/>
              </w:rPr>
              <w:t>水土保持高级工程师</w:t>
            </w:r>
          </w:p>
        </w:tc>
        <w:tc>
          <w:tcPr>
            <w:tcW w:type="dxa" w:w="15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132" w:after="0"/>
              <w:ind w:left="0" w:right="0" w:firstLine="0"/>
              <w:jc w:val="center"/>
            </w:pPr>
            <w:r>
              <w:rPr>
                <w:rFonts w:ascii="仿宋" w:hAnsi="仿宋" w:eastAsia="仿宋"/>
                <w:b w:val="0"/>
                <w:i w:val="0"/>
                <w:color w:val="000000"/>
                <w:sz w:val="21"/>
              </w:rPr>
              <w:t>手机号码</w:t>
            </w:r>
          </w:p>
        </w:tc>
        <w:tc>
          <w:tcPr>
            <w:tcW w:type="dxa" w:w="264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132" w:after="0"/>
              <w:ind w:left="0" w:right="0" w:firstLine="0"/>
              <w:jc w:val="center"/>
            </w:pPr>
            <w:r>
              <w:rPr>
                <w:rFonts w:ascii="仿宋" w:hAnsi="仿宋" w:eastAsia="仿宋"/>
                <w:b w:val="0"/>
                <w:i w:val="0"/>
                <w:color w:val="000000"/>
                <w:sz w:val="21"/>
              </w:rPr>
              <w:t>18990876622</w:t>
            </w:r>
          </w:p>
        </w:tc>
      </w:tr>
      <w:tr>
        <w:trPr>
          <w:trHeight w:hRule="exact" w:val="478"/>
        </w:trPr>
        <w:tc>
          <w:tcPr>
            <w:tcW w:type="dxa" w:w="22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30" w:after="0"/>
              <w:ind w:left="272" w:right="272" w:firstLine="0"/>
              <w:jc w:val="right"/>
            </w:pPr>
            <w:r>
              <w:rPr>
                <w:rFonts w:ascii="仿宋" w:hAnsi="仿宋" w:eastAsia="仿宋"/>
                <w:b w:val="0"/>
                <w:i w:val="0"/>
                <w:color w:val="000000"/>
                <w:sz w:val="21"/>
              </w:rPr>
              <w:t>专家库在库编号</w:t>
            </w:r>
          </w:p>
        </w:tc>
        <w:tc>
          <w:tcPr>
            <w:tcW w:type="dxa" w:w="6552"/>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130" w:after="0"/>
              <w:ind w:left="0" w:right="0" w:firstLine="0"/>
              <w:jc w:val="center"/>
            </w:pPr>
            <w:r>
              <w:rPr>
                <w:rFonts w:ascii="仿宋" w:hAnsi="仿宋" w:eastAsia="仿宋"/>
                <w:b w:val="0"/>
                <w:i w:val="0"/>
                <w:color w:val="000000"/>
                <w:sz w:val="21"/>
              </w:rPr>
              <w:t>CSZ-ST004</w:t>
            </w:r>
          </w:p>
        </w:tc>
      </w:tr>
      <w:tr>
        <w:trPr>
          <w:trHeight w:hRule="exact" w:val="12350"/>
        </w:trPr>
        <w:tc>
          <w:tcPr>
            <w:tcW w:type="dxa" w:w="878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112" w:after="0"/>
              <w:ind w:left="106" w:right="106" w:firstLine="0"/>
              <w:jc w:val="right"/>
            </w:pPr>
            <w:r>
              <w:rPr>
                <w:rFonts w:ascii="仿宋" w:hAnsi="仿宋" w:eastAsia="仿宋"/>
                <w:b w:val="0"/>
                <w:i w:val="0"/>
                <w:color w:val="000000"/>
                <w:sz w:val="21"/>
              </w:rPr>
              <w:t>根据《生产建设项目水土保持方案管理办法》（水利部令第 53 号）、《生产建设项目水</w:t>
            </w:r>
          </w:p>
          <w:p>
            <w:pPr>
              <w:autoSpaceDN w:val="0"/>
              <w:autoSpaceDE w:val="0"/>
              <w:widowControl/>
              <w:spacing w:line="208" w:lineRule="exact" w:before="152" w:after="0"/>
              <w:ind w:left="0" w:right="0" w:firstLine="0"/>
              <w:jc w:val="center"/>
            </w:pPr>
            <w:r>
              <w:rPr>
                <w:rFonts w:ascii="仿宋" w:hAnsi="仿宋" w:eastAsia="仿宋"/>
                <w:b w:val="0"/>
                <w:i w:val="0"/>
                <w:color w:val="000000"/>
                <w:sz w:val="21"/>
              </w:rPr>
              <w:t>土保持技术标准》（GB50433-2018）等相关规定，对南部县交通建设发展有限公司委托四川诚</w:t>
            </w:r>
          </w:p>
          <w:p>
            <w:pPr>
              <w:autoSpaceDN w:val="0"/>
              <w:autoSpaceDE w:val="0"/>
              <w:widowControl/>
              <w:spacing w:line="208" w:lineRule="exact" w:before="152" w:after="0"/>
              <w:ind w:left="0" w:right="0" w:firstLine="0"/>
              <w:jc w:val="center"/>
            </w:pPr>
            <w:r>
              <w:rPr>
                <w:rFonts w:ascii="仿宋" w:hAnsi="仿宋" w:eastAsia="仿宋"/>
                <w:b w:val="0"/>
                <w:i w:val="0"/>
                <w:color w:val="000000"/>
                <w:sz w:val="21"/>
              </w:rPr>
              <w:t>达澜工程管理咨询有限公司编制的《县道 X096 线过境宏观乡场镇路段维修整治工程水土保持</w:t>
            </w:r>
          </w:p>
          <w:p>
            <w:pPr>
              <w:autoSpaceDN w:val="0"/>
              <w:autoSpaceDE w:val="0"/>
              <w:widowControl/>
              <w:spacing w:line="208" w:lineRule="exact" w:before="152" w:after="0"/>
              <w:ind w:left="102" w:right="102" w:firstLine="0"/>
              <w:jc w:val="left"/>
            </w:pPr>
            <w:r>
              <w:rPr>
                <w:rFonts w:ascii="仿宋" w:hAnsi="仿宋" w:eastAsia="仿宋"/>
                <w:b w:val="0"/>
                <w:i w:val="0"/>
                <w:color w:val="000000"/>
                <w:sz w:val="21"/>
              </w:rPr>
              <w:t>方案报告表》（以下简称报告表）提出技术审核意见如下：</w:t>
            </w:r>
          </w:p>
          <w:p>
            <w:pPr>
              <w:autoSpaceDN w:val="0"/>
              <w:autoSpaceDE w:val="0"/>
              <w:widowControl/>
              <w:spacing w:line="208" w:lineRule="exact" w:before="152" w:after="0"/>
              <w:ind w:left="106" w:right="106" w:firstLine="0"/>
              <w:jc w:val="right"/>
            </w:pPr>
            <w:r>
              <w:rPr>
                <w:rFonts w:ascii="仿宋" w:hAnsi="仿宋" w:eastAsia="仿宋"/>
                <w:b w:val="0"/>
                <w:i w:val="0"/>
                <w:color w:val="000000"/>
                <w:sz w:val="21"/>
              </w:rPr>
              <w:t>1、报告表项目概况介绍清楚，县道 X096 线过境宏观乡场镇路段维修整治工程位于四川省</w:t>
            </w:r>
          </w:p>
          <w:p>
            <w:pPr>
              <w:autoSpaceDN w:val="0"/>
              <w:autoSpaceDE w:val="0"/>
              <w:widowControl/>
              <w:spacing w:line="208" w:lineRule="exact" w:before="152" w:after="0"/>
              <w:ind w:left="0" w:right="0" w:firstLine="0"/>
              <w:jc w:val="center"/>
            </w:pPr>
            <w:r>
              <w:rPr>
                <w:rFonts w:ascii="仿宋" w:hAnsi="仿宋" w:eastAsia="仿宋"/>
                <w:b w:val="0"/>
                <w:i w:val="0"/>
                <w:color w:val="000000"/>
                <w:sz w:val="21"/>
              </w:rPr>
              <w:t>南充市南部县宏观乡老观村，场地中心坐标（105.834317041°E，31.340523268°N），项目</w:t>
            </w:r>
          </w:p>
          <w:p>
            <w:pPr>
              <w:autoSpaceDN w:val="0"/>
              <w:autoSpaceDE w:val="0"/>
              <w:widowControl/>
              <w:spacing w:line="226" w:lineRule="exact" w:before="134" w:after="0"/>
              <w:ind w:left="0" w:right="0" w:firstLine="0"/>
              <w:jc w:val="center"/>
            </w:pPr>
            <w:r>
              <w:rPr>
                <w:rFonts w:ascii="仿宋" w:hAnsi="仿宋" w:eastAsia="仿宋"/>
                <w:b w:val="0"/>
                <w:i w:val="0"/>
                <w:color w:val="000000"/>
                <w:sz w:val="21"/>
              </w:rPr>
              <w:t>占地 0.87hm</w:t>
            </w:r>
            <w:r>
              <w:rPr>
                <w:w w:val="96.36363983154297"/>
                <w:rFonts w:ascii="仿宋" w:hAnsi="仿宋" w:eastAsia="仿宋"/>
                <w:b w:val="0"/>
                <w:i w:val="0"/>
                <w:color w:val="000000"/>
                <w:sz w:val="11"/>
              </w:rPr>
              <w:t>2</w:t>
            </w:r>
            <w:r>
              <w:rPr>
                <w:rFonts w:ascii="仿宋" w:hAnsi="仿宋" w:eastAsia="仿宋"/>
                <w:b w:val="0"/>
                <w:i w:val="0"/>
                <w:color w:val="000000"/>
                <w:sz w:val="21"/>
              </w:rPr>
              <w:t>，无临时用地。项目改造市政道路（2 条）807m。项目总投资 266.50 万元（其中</w:t>
            </w:r>
          </w:p>
          <w:p>
            <w:pPr>
              <w:autoSpaceDN w:val="0"/>
              <w:autoSpaceDE w:val="0"/>
              <w:widowControl/>
              <w:spacing w:line="208" w:lineRule="exact" w:before="152" w:after="0"/>
              <w:ind w:left="102" w:right="102" w:firstLine="0"/>
              <w:jc w:val="left"/>
            </w:pPr>
            <w:r>
              <w:rPr>
                <w:rFonts w:ascii="仿宋" w:hAnsi="仿宋" w:eastAsia="仿宋"/>
                <w:b w:val="0"/>
                <w:i w:val="0"/>
                <w:color w:val="000000"/>
                <w:sz w:val="21"/>
              </w:rPr>
              <w:t>土建投资 227.23 万元），项目建设单位南部县交通建设发展有限公司。</w:t>
            </w:r>
          </w:p>
          <w:p>
            <w:pPr>
              <w:autoSpaceDN w:val="0"/>
              <w:autoSpaceDE w:val="0"/>
              <w:widowControl/>
              <w:spacing w:line="208" w:lineRule="exact" w:before="152" w:after="0"/>
              <w:ind w:left="8" w:right="8" w:firstLine="0"/>
              <w:jc w:val="right"/>
            </w:pPr>
            <w:r>
              <w:rPr>
                <w:rFonts w:ascii="仿宋" w:hAnsi="仿宋" w:eastAsia="仿宋"/>
                <w:b w:val="0"/>
                <w:i w:val="0"/>
                <w:color w:val="000000"/>
                <w:sz w:val="21"/>
              </w:rPr>
              <w:t>2、项目已于 2022 年 7 月开工、2024 年 1 月完工，实际工期 4 个月，中途停工时间较长，</w:t>
            </w:r>
          </w:p>
          <w:p>
            <w:pPr>
              <w:autoSpaceDN w:val="0"/>
              <w:autoSpaceDE w:val="0"/>
              <w:widowControl/>
              <w:spacing w:line="208" w:lineRule="exact" w:before="152" w:after="0"/>
              <w:ind w:left="102" w:right="102" w:firstLine="0"/>
              <w:jc w:val="left"/>
            </w:pPr>
            <w:r>
              <w:rPr>
                <w:rFonts w:ascii="仿宋" w:hAnsi="仿宋" w:eastAsia="仿宋"/>
                <w:b w:val="0"/>
                <w:i w:val="0"/>
                <w:color w:val="000000"/>
                <w:sz w:val="21"/>
              </w:rPr>
              <w:t>方案为补报。</w:t>
            </w:r>
          </w:p>
          <w:p>
            <w:pPr>
              <w:autoSpaceDN w:val="0"/>
              <w:autoSpaceDE w:val="0"/>
              <w:widowControl/>
              <w:spacing w:line="226" w:lineRule="exact" w:before="134" w:after="0"/>
              <w:ind w:left="0" w:right="0" w:firstLine="0"/>
              <w:jc w:val="right"/>
            </w:pPr>
            <w:r>
              <w:rPr>
                <w:rFonts w:ascii="仿宋" w:hAnsi="仿宋" w:eastAsia="仿宋"/>
                <w:b w:val="0"/>
                <w:i w:val="0"/>
                <w:color w:val="000000"/>
                <w:sz w:val="21"/>
              </w:rPr>
              <w:t>3、报告表工程土石方平衡分析及处置合理，工程土石方开挖 0.19 万 m</w:t>
            </w:r>
            <w:r>
              <w:rPr>
                <w:w w:val="96.36363983154297"/>
                <w:rFonts w:ascii="仿宋" w:hAnsi="仿宋" w:eastAsia="仿宋"/>
                <w:b w:val="0"/>
                <w:i w:val="0"/>
                <w:color w:val="000000"/>
                <w:sz w:val="11"/>
              </w:rPr>
              <w:t>3</w:t>
            </w:r>
            <w:r>
              <w:rPr>
                <w:rFonts w:ascii="仿宋" w:hAnsi="仿宋" w:eastAsia="仿宋"/>
                <w:b w:val="0"/>
                <w:i w:val="0"/>
                <w:color w:val="000000"/>
                <w:sz w:val="21"/>
              </w:rPr>
              <w:t>、回填 0.10 万 m</w:t>
            </w:r>
            <w:r>
              <w:rPr>
                <w:w w:val="96.36363983154297"/>
                <w:rFonts w:ascii="仿宋" w:hAnsi="仿宋" w:eastAsia="仿宋"/>
                <w:b w:val="0"/>
                <w:i w:val="0"/>
                <w:color w:val="000000"/>
                <w:sz w:val="11"/>
              </w:rPr>
              <w:t>3</w:t>
            </w:r>
            <w:r>
              <w:rPr>
                <w:rFonts w:ascii="仿宋" w:hAnsi="仿宋" w:eastAsia="仿宋"/>
                <w:b w:val="0"/>
                <w:i w:val="0"/>
                <w:color w:val="000000"/>
                <w:sz w:val="21"/>
              </w:rPr>
              <w:t>，</w:t>
            </w:r>
          </w:p>
          <w:p>
            <w:pPr>
              <w:autoSpaceDN w:val="0"/>
              <w:autoSpaceDE w:val="0"/>
              <w:widowControl/>
              <w:spacing w:line="226" w:lineRule="exact" w:before="134" w:after="0"/>
              <w:ind w:left="102" w:right="102" w:firstLine="0"/>
              <w:jc w:val="left"/>
            </w:pPr>
            <w:r>
              <w:rPr>
                <w:rFonts w:ascii="仿宋" w:hAnsi="仿宋" w:eastAsia="仿宋"/>
                <w:b w:val="0"/>
                <w:i w:val="0"/>
                <w:color w:val="000000"/>
                <w:sz w:val="21"/>
              </w:rPr>
              <w:t>余方 0.09 万 m</w:t>
            </w:r>
            <w:r>
              <w:rPr>
                <w:w w:val="96.36363983154297"/>
                <w:rFonts w:ascii="仿宋" w:hAnsi="仿宋" w:eastAsia="仿宋"/>
                <w:b w:val="0"/>
                <w:i w:val="0"/>
                <w:color w:val="000000"/>
                <w:sz w:val="11"/>
              </w:rPr>
              <w:t>3</w:t>
            </w:r>
            <w:r>
              <w:rPr>
                <w:rFonts w:ascii="仿宋" w:hAnsi="仿宋" w:eastAsia="仿宋"/>
                <w:b w:val="0"/>
                <w:i w:val="0"/>
                <w:color w:val="000000"/>
                <w:sz w:val="21"/>
              </w:rPr>
              <w:t>，余方 0.09 万 m</w:t>
            </w:r>
            <w:r>
              <w:rPr>
                <w:w w:val="96.36363983154297"/>
                <w:rFonts w:ascii="仿宋" w:hAnsi="仿宋" w:eastAsia="仿宋"/>
                <w:b w:val="0"/>
                <w:i w:val="0"/>
                <w:color w:val="000000"/>
                <w:sz w:val="11"/>
              </w:rPr>
              <w:t>3</w:t>
            </w:r>
            <w:r>
              <w:rPr>
                <w:rFonts w:ascii="仿宋" w:hAnsi="仿宋" w:eastAsia="仿宋"/>
                <w:b w:val="0"/>
                <w:i w:val="0"/>
                <w:color w:val="000000"/>
                <w:sz w:val="21"/>
              </w:rPr>
              <w:t>用于宏观乡老观村机耕道维护回填利用。</w:t>
            </w:r>
          </w:p>
          <w:p>
            <w:pPr>
              <w:autoSpaceDN w:val="0"/>
              <w:autoSpaceDE w:val="0"/>
              <w:widowControl/>
              <w:spacing w:line="208" w:lineRule="exact" w:before="152" w:after="0"/>
              <w:ind w:left="106" w:right="106" w:firstLine="0"/>
              <w:jc w:val="right"/>
            </w:pPr>
            <w:r>
              <w:rPr>
                <w:rFonts w:ascii="仿宋" w:hAnsi="仿宋" w:eastAsia="仿宋"/>
                <w:b w:val="0"/>
                <w:i w:val="0"/>
                <w:color w:val="000000"/>
                <w:sz w:val="21"/>
              </w:rPr>
              <w:t>4、报告表项目区概况介绍清楚、内容较全面。项目区地处四川盆地东北部丘陵地区，土</w:t>
            </w:r>
          </w:p>
          <w:p>
            <w:pPr>
              <w:autoSpaceDN w:val="0"/>
              <w:autoSpaceDE w:val="0"/>
              <w:widowControl/>
              <w:spacing w:line="208" w:lineRule="exact" w:before="152" w:after="0"/>
              <w:ind w:left="0" w:right="0" w:firstLine="0"/>
              <w:jc w:val="center"/>
            </w:pPr>
            <w:r>
              <w:rPr>
                <w:rFonts w:ascii="仿宋" w:hAnsi="仿宋" w:eastAsia="仿宋"/>
                <w:b w:val="0"/>
                <w:i w:val="0"/>
                <w:color w:val="000000"/>
                <w:sz w:val="21"/>
              </w:rPr>
              <w:t>壤侵蚀类型区属于水力侵蚀区--西南土石山区--四川山地丘陵区，水土保持区划属于西南紫色</w:t>
            </w:r>
          </w:p>
          <w:p>
            <w:pPr>
              <w:autoSpaceDN w:val="0"/>
              <w:autoSpaceDE w:val="0"/>
              <w:widowControl/>
              <w:spacing w:line="208" w:lineRule="exact" w:before="152" w:after="0"/>
              <w:ind w:left="102" w:right="102" w:firstLine="0"/>
              <w:jc w:val="left"/>
            </w:pPr>
            <w:r>
              <w:rPr>
                <w:rFonts w:ascii="仿宋" w:hAnsi="仿宋" w:eastAsia="仿宋"/>
                <w:b w:val="0"/>
                <w:i w:val="0"/>
                <w:color w:val="000000"/>
                <w:sz w:val="21"/>
              </w:rPr>
              <w:t>土区--川渝山地丘陵区--四川盆地北中部山地丘陵保土人居环境维护区。</w:t>
            </w:r>
          </w:p>
          <w:p>
            <w:pPr>
              <w:autoSpaceDN w:val="0"/>
              <w:autoSpaceDE w:val="0"/>
              <w:widowControl/>
              <w:spacing w:line="208" w:lineRule="exact" w:before="152" w:after="0"/>
              <w:ind w:left="106" w:right="106" w:firstLine="0"/>
              <w:jc w:val="right"/>
            </w:pPr>
            <w:r>
              <w:rPr>
                <w:rFonts w:ascii="仿宋" w:hAnsi="仿宋" w:eastAsia="仿宋"/>
                <w:b w:val="0"/>
                <w:i w:val="0"/>
                <w:color w:val="000000"/>
                <w:sz w:val="21"/>
              </w:rPr>
              <w:t>5、报告表项目选址制约性分析合理、水土保持评价正确，项目选址不涉及河流两岸、湖</w:t>
            </w:r>
          </w:p>
          <w:p>
            <w:pPr>
              <w:autoSpaceDN w:val="0"/>
              <w:autoSpaceDE w:val="0"/>
              <w:widowControl/>
              <w:spacing w:line="208" w:lineRule="exact" w:before="152" w:after="0"/>
              <w:ind w:left="0" w:right="0" w:firstLine="0"/>
              <w:jc w:val="center"/>
            </w:pPr>
            <w:r>
              <w:rPr>
                <w:rFonts w:ascii="仿宋" w:hAnsi="仿宋" w:eastAsia="仿宋"/>
                <w:b w:val="0"/>
                <w:i w:val="0"/>
                <w:color w:val="000000"/>
                <w:sz w:val="21"/>
              </w:rPr>
              <w:t>泊和水库周边的植物保护带，不涉及全国水土保持监测网络中的水土保持监测站点、重点试验</w:t>
            </w:r>
          </w:p>
          <w:p>
            <w:pPr>
              <w:autoSpaceDN w:val="0"/>
              <w:autoSpaceDE w:val="0"/>
              <w:widowControl/>
              <w:spacing w:line="208" w:lineRule="exact" w:before="152" w:after="0"/>
              <w:ind w:left="0" w:right="0" w:firstLine="0"/>
              <w:jc w:val="center"/>
            </w:pPr>
            <w:r>
              <w:rPr>
                <w:rFonts w:ascii="仿宋" w:hAnsi="仿宋" w:eastAsia="仿宋"/>
                <w:b w:val="0"/>
                <w:i w:val="0"/>
                <w:color w:val="000000"/>
                <w:sz w:val="21"/>
              </w:rPr>
              <w:t>区及国家确定的水土保持长期定位观测站。项目位于嘉陵江下游省级水土流失重点治理区，已</w:t>
            </w:r>
          </w:p>
          <w:p>
            <w:pPr>
              <w:autoSpaceDN w:val="0"/>
              <w:autoSpaceDE w:val="0"/>
              <w:widowControl/>
              <w:spacing w:line="208" w:lineRule="exact" w:before="152" w:after="0"/>
              <w:ind w:left="102" w:right="102" w:firstLine="0"/>
              <w:jc w:val="left"/>
            </w:pPr>
            <w:r>
              <w:rPr>
                <w:rFonts w:ascii="仿宋" w:hAnsi="仿宋" w:eastAsia="仿宋"/>
                <w:b w:val="0"/>
                <w:i w:val="0"/>
                <w:color w:val="000000"/>
                <w:sz w:val="21"/>
              </w:rPr>
              <w:t>优化方案、减少工程土石方量，基本满足水土保持要求。</w:t>
            </w:r>
          </w:p>
          <w:p>
            <w:pPr>
              <w:autoSpaceDN w:val="0"/>
              <w:autoSpaceDE w:val="0"/>
              <w:widowControl/>
              <w:spacing w:line="226" w:lineRule="exact" w:before="134" w:after="0"/>
              <w:ind w:left="522" w:right="522" w:firstLine="0"/>
              <w:jc w:val="left"/>
            </w:pPr>
            <w:r>
              <w:rPr>
                <w:rFonts w:ascii="仿宋" w:hAnsi="仿宋" w:eastAsia="仿宋"/>
                <w:b w:val="0"/>
                <w:i w:val="0"/>
                <w:color w:val="000000"/>
                <w:sz w:val="21"/>
              </w:rPr>
              <w:t>6、报告表确定的水土流失防治责任范围 0.87hm</w:t>
            </w:r>
            <w:r>
              <w:rPr>
                <w:w w:val="96.36363983154297"/>
                <w:rFonts w:ascii="仿宋" w:hAnsi="仿宋" w:eastAsia="仿宋"/>
                <w:b w:val="0"/>
                <w:i w:val="0"/>
                <w:color w:val="000000"/>
                <w:sz w:val="11"/>
              </w:rPr>
              <w:t>2</w:t>
            </w:r>
            <w:r>
              <w:rPr>
                <w:rFonts w:ascii="仿宋" w:hAnsi="仿宋" w:eastAsia="仿宋"/>
                <w:b w:val="0"/>
                <w:i w:val="0"/>
                <w:color w:val="000000"/>
                <w:sz w:val="21"/>
              </w:rPr>
              <w:t>合理、完整。</w:t>
            </w:r>
          </w:p>
          <w:p>
            <w:pPr>
              <w:autoSpaceDN w:val="0"/>
              <w:autoSpaceDE w:val="0"/>
              <w:widowControl/>
              <w:spacing w:line="208" w:lineRule="exact" w:before="152" w:after="0"/>
              <w:ind w:left="106" w:right="106" w:firstLine="0"/>
              <w:jc w:val="right"/>
            </w:pPr>
            <w:r>
              <w:rPr>
                <w:rFonts w:ascii="仿宋" w:hAnsi="仿宋" w:eastAsia="仿宋"/>
                <w:b w:val="0"/>
                <w:i w:val="0"/>
                <w:color w:val="000000"/>
                <w:sz w:val="21"/>
              </w:rPr>
              <w:t>7、报告表确定的水土流失防治标准为西南紫色土区一级标准正确，确定的水土流失防治</w:t>
            </w:r>
          </w:p>
          <w:p>
            <w:pPr>
              <w:autoSpaceDN w:val="0"/>
              <w:autoSpaceDE w:val="0"/>
              <w:widowControl/>
              <w:spacing w:line="208" w:lineRule="exact" w:before="152" w:after="0"/>
              <w:ind w:left="8" w:right="8" w:firstLine="0"/>
              <w:jc w:val="right"/>
            </w:pPr>
            <w:r>
              <w:rPr>
                <w:rFonts w:ascii="仿宋" w:hAnsi="仿宋" w:eastAsia="仿宋"/>
                <w:b w:val="0"/>
                <w:i w:val="0"/>
                <w:color w:val="000000"/>
                <w:sz w:val="21"/>
              </w:rPr>
              <w:t>目标合理：水土流失治理度 97%，渣土防护率 92%，表土保护率不涉及，土壤流失控制比 1.0，</w:t>
            </w:r>
          </w:p>
          <w:p>
            <w:pPr>
              <w:autoSpaceDN w:val="0"/>
              <w:autoSpaceDE w:val="0"/>
              <w:widowControl/>
              <w:spacing w:line="208" w:lineRule="exact" w:before="152" w:after="0"/>
              <w:ind w:left="0" w:right="0" w:firstLine="0"/>
              <w:jc w:val="right"/>
            </w:pPr>
            <w:r>
              <w:rPr>
                <w:rFonts w:ascii="仿宋" w:hAnsi="仿宋" w:eastAsia="仿宋"/>
                <w:b w:val="0"/>
                <w:i w:val="0"/>
                <w:color w:val="000000"/>
                <w:sz w:val="21"/>
              </w:rPr>
              <w:t>林草植被恢复率 97%，林草覆盖率不计（依据《城市道路绿化设计标准》（CJJ/T75-2023））。</w:t>
            </w:r>
          </w:p>
          <w:p>
            <w:pPr>
              <w:autoSpaceDN w:val="0"/>
              <w:autoSpaceDE w:val="0"/>
              <w:widowControl/>
              <w:spacing w:line="208" w:lineRule="exact" w:before="152" w:after="0"/>
              <w:ind w:left="106" w:right="106" w:firstLine="0"/>
              <w:jc w:val="right"/>
            </w:pPr>
            <w:r>
              <w:rPr>
                <w:rFonts w:ascii="仿宋" w:hAnsi="仿宋" w:eastAsia="仿宋"/>
                <w:b w:val="0"/>
                <w:i w:val="0"/>
                <w:color w:val="000000"/>
                <w:sz w:val="21"/>
              </w:rPr>
              <w:t>8、报告表水土保持措施布设基本得当，工程措施：排水沟 15m，排水管 429.38m，临时措</w:t>
            </w:r>
          </w:p>
          <w:p>
            <w:pPr>
              <w:autoSpaceDN w:val="0"/>
              <w:autoSpaceDE w:val="0"/>
              <w:widowControl/>
              <w:spacing w:line="226" w:lineRule="exact" w:before="134" w:after="0"/>
              <w:ind w:left="102" w:right="102" w:firstLine="0"/>
              <w:jc w:val="left"/>
            </w:pPr>
            <w:r>
              <w:rPr>
                <w:rFonts w:ascii="仿宋" w:hAnsi="仿宋" w:eastAsia="仿宋"/>
                <w:b w:val="0"/>
                <w:i w:val="0"/>
                <w:color w:val="000000"/>
                <w:sz w:val="21"/>
              </w:rPr>
              <w:t>施：密目网 2000m</w:t>
            </w:r>
            <w:r>
              <w:rPr>
                <w:w w:val="96.36363983154297"/>
                <w:rFonts w:ascii="仿宋" w:hAnsi="仿宋" w:eastAsia="仿宋"/>
                <w:b w:val="0"/>
                <w:i w:val="0"/>
                <w:color w:val="000000"/>
                <w:sz w:val="11"/>
              </w:rPr>
              <w:t>2</w:t>
            </w:r>
            <w:r>
              <w:rPr>
                <w:rFonts w:ascii="仿宋" w:hAnsi="仿宋" w:eastAsia="仿宋"/>
                <w:b w:val="0"/>
                <w:i w:val="0"/>
                <w:color w:val="000000"/>
                <w:sz w:val="21"/>
              </w:rPr>
              <w:t>。</w:t>
            </w:r>
          </w:p>
          <w:p>
            <w:pPr>
              <w:autoSpaceDN w:val="0"/>
              <w:autoSpaceDE w:val="0"/>
              <w:widowControl/>
              <w:spacing w:line="208" w:lineRule="exact" w:before="152" w:after="0"/>
              <w:ind w:left="106" w:right="106" w:firstLine="0"/>
              <w:jc w:val="right"/>
            </w:pPr>
            <w:r>
              <w:rPr>
                <w:rFonts w:ascii="仿宋" w:hAnsi="仿宋" w:eastAsia="仿宋"/>
                <w:b w:val="0"/>
                <w:i w:val="0"/>
                <w:color w:val="000000"/>
                <w:sz w:val="21"/>
              </w:rPr>
              <w:t>9、报告表水土保持投资概算基本合理，水土保持补偿费计算准确，项目水土保持概算投</w:t>
            </w:r>
          </w:p>
          <w:p>
            <w:pPr>
              <w:autoSpaceDN w:val="0"/>
              <w:autoSpaceDE w:val="0"/>
              <w:widowControl/>
              <w:spacing w:line="208" w:lineRule="exact" w:before="152" w:after="0"/>
              <w:ind w:left="0" w:right="0" w:firstLine="0"/>
              <w:jc w:val="center"/>
            </w:pPr>
            <w:r>
              <w:rPr>
                <w:rFonts w:ascii="仿宋" w:hAnsi="仿宋" w:eastAsia="仿宋"/>
                <w:b w:val="0"/>
                <w:i w:val="0"/>
                <w:color w:val="000000"/>
                <w:sz w:val="21"/>
              </w:rPr>
              <w:t>资 9.58 万元（主体工程已列 4.95 万元，方案新增 4.63 万元），其中：工程措施 4.22 万元，</w:t>
            </w:r>
          </w:p>
          <w:p>
            <w:pPr>
              <w:autoSpaceDN w:val="0"/>
              <w:autoSpaceDE w:val="0"/>
              <w:widowControl/>
              <w:spacing w:line="208" w:lineRule="exact" w:before="152" w:after="0"/>
              <w:ind w:left="0" w:right="0" w:firstLine="0"/>
              <w:jc w:val="center"/>
            </w:pPr>
            <w:r>
              <w:rPr>
                <w:rFonts w:ascii="仿宋" w:hAnsi="仿宋" w:eastAsia="仿宋"/>
                <w:b w:val="0"/>
                <w:i w:val="0"/>
                <w:color w:val="000000"/>
                <w:sz w:val="21"/>
              </w:rPr>
              <w:t>施工临时工程 0.29 万元，独立费用 3.94 万元，水土保持补偿费 1.13 万元（11319.1 元），投</w:t>
            </w:r>
          </w:p>
          <w:p>
            <w:pPr>
              <w:autoSpaceDN w:val="0"/>
              <w:autoSpaceDE w:val="0"/>
              <w:widowControl/>
              <w:spacing w:line="208" w:lineRule="exact" w:before="152" w:after="0"/>
              <w:ind w:left="102" w:right="102" w:firstLine="0"/>
              <w:jc w:val="left"/>
            </w:pPr>
            <w:r>
              <w:rPr>
                <w:rFonts w:ascii="仿宋" w:hAnsi="仿宋" w:eastAsia="仿宋"/>
                <w:b w:val="0"/>
                <w:i w:val="0"/>
                <w:color w:val="000000"/>
                <w:sz w:val="21"/>
              </w:rPr>
              <w:t>资基本满足项目水土流失防治需要。</w:t>
            </w:r>
          </w:p>
          <w:p>
            <w:pPr>
              <w:autoSpaceDN w:val="0"/>
              <w:autoSpaceDE w:val="0"/>
              <w:widowControl/>
              <w:spacing w:line="208" w:lineRule="exact" w:before="152" w:after="0"/>
              <w:ind w:left="106" w:right="106" w:firstLine="0"/>
              <w:jc w:val="right"/>
            </w:pPr>
            <w:r>
              <w:rPr>
                <w:rFonts w:ascii="仿宋" w:hAnsi="仿宋" w:eastAsia="仿宋"/>
                <w:b w:val="0"/>
                <w:i w:val="0"/>
                <w:color w:val="000000"/>
                <w:sz w:val="21"/>
              </w:rPr>
              <w:t>综上，审阅认为报告表基本符合水土保持技术标准和国家现行水土保持政策，原则同意该</w:t>
            </w:r>
          </w:p>
          <w:p>
            <w:pPr>
              <w:autoSpaceDN w:val="0"/>
              <w:autoSpaceDE w:val="0"/>
              <w:widowControl/>
              <w:spacing w:line="208" w:lineRule="exact" w:before="152" w:after="0"/>
              <w:ind w:left="102" w:right="102" w:firstLine="0"/>
              <w:jc w:val="left"/>
            </w:pPr>
            <w:r>
              <w:rPr>
                <w:rFonts w:ascii="仿宋" w:hAnsi="仿宋" w:eastAsia="仿宋"/>
                <w:b w:val="0"/>
                <w:i w:val="0"/>
                <w:color w:val="000000"/>
                <w:sz w:val="21"/>
              </w:rPr>
              <w:t>报告表水土保持方案。</w:t>
            </w:r>
          </w:p>
          <w:p>
            <w:pPr>
              <w:autoSpaceDN w:val="0"/>
              <w:autoSpaceDE w:val="0"/>
              <w:widowControl/>
              <w:spacing w:line="240" w:lineRule="auto" w:before="126" w:after="0"/>
              <w:ind w:left="936" w:right="936" w:firstLine="0"/>
              <w:jc w:val="right"/>
            </w:pPr>
            <w:r>
              <w:rPr>
                <w:rFonts w:ascii="仿宋" w:hAnsi="仿宋" w:eastAsia="仿宋"/>
                <w:b w:val="0"/>
                <w:i w:val="0"/>
                <w:color w:val="000000"/>
                <w:sz w:val="21"/>
              </w:rPr>
              <w:t>签名：</w:t>
            </w:r>
            <w:r>
              <w:drawing>
                <wp:inline xmlns:a="http://schemas.openxmlformats.org/drawingml/2006/main" xmlns:pic="http://schemas.openxmlformats.org/drawingml/2006/picture">
                  <wp:extent cx="577850" cy="25358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77850" cy="253589"/>
                          </a:xfrm>
                          <a:prstGeom prst="rect"/>
                        </pic:spPr>
                      </pic:pic>
                    </a:graphicData>
                  </a:graphic>
                </wp:inline>
              </w:drawing>
            </w:r>
          </w:p>
          <w:p>
            <w:pPr>
              <w:autoSpaceDN w:val="0"/>
              <w:autoSpaceDE w:val="0"/>
              <w:widowControl/>
              <w:spacing w:line="208" w:lineRule="exact" w:before="150" w:after="0"/>
              <w:ind w:left="776" w:right="776" w:firstLine="0"/>
              <w:jc w:val="right"/>
            </w:pPr>
            <w:r>
              <w:rPr>
                <w:rFonts w:ascii="仿宋" w:hAnsi="仿宋" w:eastAsia="仿宋"/>
                <w:b w:val="0"/>
                <w:i w:val="0"/>
                <w:color w:val="000000"/>
                <w:sz w:val="21"/>
              </w:rPr>
              <w:t>2025 年 12 月 7 日</w:t>
            </w:r>
          </w:p>
        </w:tc>
      </w:tr>
    </w:tbl>
    <w:p>
      <w:pPr>
        <w:autoSpaceDN w:val="0"/>
        <w:autoSpaceDE w:val="0"/>
        <w:widowControl/>
        <w:spacing w:line="14" w:lineRule="exact" w:before="0" w:after="0"/>
        <w:ind w:left="0" w:right="0"/>
      </w:pPr>
    </w:p>
    <w:p>
      <w:pPr>
        <w:sectPr>
          <w:pgSz w:w="11906" w:h="16838"/>
          <w:pgMar w:top="644" w:right="1440" w:bottom="432" w:left="1440" w:header="720" w:footer="720" w:gutter="0"/>
          <w:cols w:space="720"/>
          <w:docGrid w:linePitch="360"/>
        </w:sectPr>
      </w:pPr>
    </w:p>
    <w:tbl>
      <w:tblPr>
        <w:tblW w:type="auto" w:w="0"/>
        <w:tblLayout w:type="fixed"/>
        <w:tblLook w:firstColumn="1" w:firstRow="1" w:lastColumn="0" w:lastRow="0" w:noHBand="0" w:noVBand="1" w:val="04A0"/>
        <w:tblInd w:w="-720.0" w:type="dxa"/>
      </w:tblPr>
      <w:tblGrid>
        <w:gridCol w:w="4513"/>
        <w:gridCol w:w="4513"/>
      </w:tblGrid>
      <w:tr>
        <w:trPr>
          <w:trHeight w:hRule="exact" w:val="180"/>
        </w:trPr>
        <w:tc>
          <w:tcPr>
            <w:tcW w:type="dxa" w:w="4512"/>
            <w:tcBorders/>
            <w:tcMar>
              <w:start w:w="0" w:type="dxa"/>
              <w:end w:w="0" w:type="dxa"/>
            </w:tcMar>
          </w:tcPr>
          <w:p/>
        </w:tc>
        <w:tc>
          <w:tcPr>
            <w:tcW w:type="dxa" w:w="4513"/>
            <w:tcBorders/>
            <w:tcMar>
              <w:start w:w="0" w:type="dxa"/>
              <w:end w:w="0" w:type="dxa"/>
            </w:tcMar>
          </w:tcPr>
          <w:p/>
        </w:tc>
      </w:tr>
    </w:tbl>
    <w:p>
      <w:pPr>
        <w:autoSpaceDN w:val="0"/>
        <w:autoSpaceDE w:val="0"/>
        <w:widowControl/>
        <w:spacing w:line="14" w:lineRule="exact" w:before="0" w:after="0"/>
        <w:ind w:left="0" w:right="0"/>
      </w:pP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1109980</wp:posOffset>
            </wp:positionH>
            <wp:positionV relativeFrom="page">
              <wp:posOffset>534670</wp:posOffset>
            </wp:positionV>
            <wp:extent cx="5514340" cy="8268015"/>
            <wp:wrapNone/>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5514340" cy="8268015"/>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5902960</wp:posOffset>
            </wp:positionH>
            <wp:positionV relativeFrom="page">
              <wp:posOffset>6098540</wp:posOffset>
            </wp:positionV>
            <wp:extent cx="688339" cy="593031"/>
            <wp:wrapNone/>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688339" cy="593031"/>
                    </a:xfrm>
                    <a:prstGeom prst="rect"/>
                  </pic:spPr>
                </pic:pic>
              </a:graphicData>
            </a:graphic>
          </wp:anchor>
        </w:drawing>
      </w:r>
    </w:p>
    <w:sectPr w:rsidR="00FC693F" w:rsidRPr="0006063C"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